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BD5E0" w14:textId="77777777" w:rsidR="00674742" w:rsidRDefault="00674742" w:rsidP="00674742">
      <w:pPr>
        <w:widowControl w:val="0"/>
        <w:autoSpaceDE w:val="0"/>
        <w:autoSpaceDN w:val="0"/>
        <w:adjustRightInd w:val="0"/>
        <w:spacing w:before="8" w:after="0" w:line="40" w:lineRule="exact"/>
        <w:rPr>
          <w:rFonts w:ascii="Times New Roman" w:eastAsiaTheme="minorEastAsia" w:hAnsi="Times New Roman" w:cs="Times New Roman"/>
          <w:sz w:val="4"/>
          <w:szCs w:val="4"/>
          <w:lang w:eastAsia="ja-JP"/>
        </w:rPr>
      </w:pPr>
    </w:p>
    <w:tbl>
      <w:tblPr>
        <w:tblW w:w="13970" w:type="dxa"/>
        <w:tblInd w:w="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636"/>
        <w:gridCol w:w="289"/>
        <w:gridCol w:w="3348"/>
        <w:gridCol w:w="3637"/>
      </w:tblGrid>
      <w:tr w:rsidR="00CA3149" w:rsidRPr="00FF2E76" w14:paraId="5F75180F" w14:textId="77777777" w:rsidTr="00FF2E76">
        <w:trPr>
          <w:trHeight w:hRule="exact" w:val="316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vAlign w:val="center"/>
          </w:tcPr>
          <w:p w14:paraId="7A08BD86" w14:textId="77777777" w:rsidR="00674742" w:rsidRPr="00833B0E" w:rsidRDefault="00674742" w:rsidP="00D4628A">
            <w:pPr>
              <w:widowControl w:val="0"/>
              <w:autoSpaceDE w:val="0"/>
              <w:autoSpaceDN w:val="0"/>
              <w:adjustRightInd w:val="0"/>
              <w:spacing w:after="0"/>
              <w:ind w:right="-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Design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Standa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ds</w:t>
            </w:r>
          </w:p>
        </w:tc>
        <w:tc>
          <w:tcPr>
            <w:tcW w:w="3636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vAlign w:val="center"/>
          </w:tcPr>
          <w:p w14:paraId="3C5BC500" w14:textId="77777777" w:rsidR="00674742" w:rsidRPr="00833B0E" w:rsidRDefault="00674742" w:rsidP="00D4628A">
            <w:pPr>
              <w:widowControl w:val="0"/>
              <w:autoSpaceDE w:val="0"/>
              <w:autoSpaceDN w:val="0"/>
              <w:adjustRightInd w:val="0"/>
              <w:spacing w:after="0"/>
              <w:ind w:right="-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3 =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Meets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1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standa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</w:t>
            </w:r>
          </w:p>
        </w:tc>
        <w:tc>
          <w:tcPr>
            <w:tcW w:w="3637" w:type="dxa"/>
            <w:gridSpan w:val="2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BBB59" w:themeFill="accent3"/>
            <w:vAlign w:val="center"/>
          </w:tcPr>
          <w:p w14:paraId="27A16CA4" w14:textId="77777777" w:rsidR="00674742" w:rsidRPr="00833B0E" w:rsidRDefault="00674742" w:rsidP="00D4628A">
            <w:pPr>
              <w:widowControl w:val="0"/>
              <w:autoSpaceDE w:val="0"/>
              <w:autoSpaceDN w:val="0"/>
              <w:adjustRightInd w:val="0"/>
              <w:spacing w:after="0"/>
              <w:ind w:left="212" w:right="-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2 =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Partially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meets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standa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</w:t>
            </w:r>
          </w:p>
        </w:tc>
        <w:tc>
          <w:tcPr>
            <w:tcW w:w="3637" w:type="dxa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9BBB59" w:themeFill="accent3"/>
            <w:vAlign w:val="center"/>
          </w:tcPr>
          <w:p w14:paraId="76D188AC" w14:textId="77777777" w:rsidR="00674742" w:rsidRPr="00833B0E" w:rsidRDefault="00674742" w:rsidP="00D4628A">
            <w:pPr>
              <w:widowControl w:val="0"/>
              <w:autoSpaceDE w:val="0"/>
              <w:autoSpaceDN w:val="0"/>
              <w:adjustRightInd w:val="0"/>
              <w:spacing w:after="0"/>
              <w:ind w:left="64" w:right="-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1 =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Does not yet meet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standa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d</w:t>
            </w:r>
          </w:p>
        </w:tc>
      </w:tr>
      <w:tr w:rsidR="00C4249E" w:rsidRPr="00FF2E76" w14:paraId="7A9019F3" w14:textId="77777777" w:rsidTr="00C76412">
        <w:trPr>
          <w:trHeight w:hRule="exact" w:val="262"/>
        </w:trPr>
        <w:tc>
          <w:tcPr>
            <w:tcW w:w="13970" w:type="dxa"/>
            <w:gridSpan w:val="5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B8CCE4" w:themeFill="accent1" w:themeFillTint="66"/>
            <w:vAlign w:val="center"/>
          </w:tcPr>
          <w:p w14:paraId="2A28CEBE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eastAsia="ja-JP"/>
              </w:rPr>
              <w:t>Stage 1</w:t>
            </w:r>
          </w:p>
        </w:tc>
      </w:tr>
      <w:tr w:rsidR="00CA3149" w:rsidRPr="00FF2E76" w14:paraId="1DD6B1DE" w14:textId="77777777" w:rsidTr="00575E65">
        <w:trPr>
          <w:trHeight w:val="1691"/>
        </w:trPr>
        <w:tc>
          <w:tcPr>
            <w:tcW w:w="3060" w:type="dxa"/>
            <w:tcBorders>
              <w:top w:val="single" w:sz="4" w:space="0" w:color="000000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771E38F" w14:textId="77777777" w:rsidR="00575E65" w:rsidRPr="00575E65" w:rsidRDefault="00575E65" w:rsidP="00575E65">
            <w:pPr>
              <w:widowControl w:val="0"/>
              <w:autoSpaceDE w:val="0"/>
              <w:autoSpaceDN w:val="0"/>
              <w:adjustRightInd w:val="0"/>
              <w:spacing w:after="0"/>
              <w:ind w:right="16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054071B2" w14:textId="279F3D9C" w:rsidR="00CA3149" w:rsidRPr="00833B0E" w:rsidRDefault="00CA3149" w:rsidP="00D4628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16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Identifies </w:t>
            </w:r>
            <w:r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 xml:space="preserve">relevant </w:t>
            </w:r>
            <w:r w:rsidR="00F57E1A"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 xml:space="preserve">content, process and media/technology </w:t>
            </w:r>
            <w:r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standards</w:t>
            </w:r>
            <w:r w:rsidR="00F57E1A"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 xml:space="preserve"> </w:t>
            </w:r>
            <w:r w:rsidR="00F57E1A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 be addressed in all three stages.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951752" w14:textId="77777777" w:rsidR="00833B0E" w:rsidRDefault="00833B0E" w:rsidP="00833B0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90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14567B3B" w14:textId="4FEEE044" w:rsidR="00CA3149" w:rsidRPr="00833B0E" w:rsidRDefault="00CA3149" w:rsidP="00833B0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90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All listed </w:t>
            </w:r>
            <w:r w:rsidR="00575E65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standards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– </w:t>
            </w:r>
          </w:p>
          <w:p w14:paraId="0F208F37" w14:textId="652F6CE8" w:rsidR="00881717" w:rsidRPr="00833B0E" w:rsidRDefault="00575E65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Come from current</w:t>
            </w:r>
            <w:r w:rsidR="00CA314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="00881717"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national and/or state standard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</w:t>
            </w:r>
          </w:p>
          <w:p w14:paraId="6F22DC36" w14:textId="75BAAA7D" w:rsidR="00881717" w:rsidRPr="00833B0E" w:rsidRDefault="00CA3149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appropriate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to this unit.</w:t>
            </w:r>
          </w:p>
          <w:p w14:paraId="51D8636C" w14:textId="77777777" w:rsidR="00CA3149" w:rsidRPr="00833B0E" w:rsidRDefault="00CA3149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genuinely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targeted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, not just mentioned.</w:t>
            </w:r>
          </w:p>
        </w:tc>
        <w:tc>
          <w:tcPr>
            <w:tcW w:w="3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33B741" w14:textId="77777777" w:rsidR="00833B0E" w:rsidRPr="00833B0E" w:rsidRDefault="00833B0E" w:rsidP="00D4628A">
            <w:pPr>
              <w:widowControl w:val="0"/>
              <w:autoSpaceDE w:val="0"/>
              <w:autoSpaceDN w:val="0"/>
              <w:adjustRightInd w:val="0"/>
              <w:spacing w:after="0"/>
              <w:ind w:left="9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756B0E75" w14:textId="6BA38890" w:rsidR="00CA3149" w:rsidRPr="00833B0E" w:rsidRDefault="00CA3149" w:rsidP="00D4628A">
            <w:pPr>
              <w:widowControl w:val="0"/>
              <w:autoSpaceDE w:val="0"/>
              <w:autoSpaceDN w:val="0"/>
              <w:adjustRightInd w:val="0"/>
              <w:spacing w:after="0"/>
              <w:ind w:left="9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</w:t>
            </w:r>
            <w:r w:rsidR="00575E65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standards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– </w:t>
            </w:r>
          </w:p>
          <w:p w14:paraId="199701F6" w14:textId="411CD6A1" w:rsidR="00A13FB7" w:rsidRPr="00833B0E" w:rsidRDefault="00CA3149" w:rsidP="00A13F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only somewhat appropriate to what this unit is about</w:t>
            </w:r>
          </w:p>
          <w:p w14:paraId="263DFAA5" w14:textId="77777777" w:rsidR="00CA3149" w:rsidRPr="00833B0E" w:rsidRDefault="00CA3149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mentioned but not really addressed in the unit.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160A379F" w14:textId="77777777" w:rsidR="00833B0E" w:rsidRPr="00833B0E" w:rsidRDefault="00833B0E" w:rsidP="00FF2E76">
            <w:pPr>
              <w:widowControl w:val="0"/>
              <w:autoSpaceDE w:val="0"/>
              <w:autoSpaceDN w:val="0"/>
              <w:adjustRightInd w:val="0"/>
              <w:spacing w:after="0"/>
              <w:ind w:left="107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32C55DD7" w14:textId="77777777" w:rsidR="00CA3149" w:rsidRPr="00833B0E" w:rsidRDefault="00CA3149" w:rsidP="00FF2E76">
            <w:pPr>
              <w:widowControl w:val="0"/>
              <w:autoSpaceDE w:val="0"/>
              <w:autoSpaceDN w:val="0"/>
              <w:adjustRightInd w:val="0"/>
              <w:spacing w:after="0"/>
              <w:ind w:left="107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goals are – </w:t>
            </w:r>
          </w:p>
          <w:p w14:paraId="1B4A78A8" w14:textId="74619071" w:rsidR="00A13FB7" w:rsidRPr="00833B0E" w:rsidRDefault="00CA3149" w:rsidP="00A13FB7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</w:t>
            </w:r>
            <w:r w:rsid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re not appropriate to this unit</w:t>
            </w:r>
          </w:p>
          <w:p w14:paraId="71CB4303" w14:textId="5A72DB67" w:rsidR="00CA3149" w:rsidRPr="00833B0E" w:rsidRDefault="00CA3149" w:rsidP="00567804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</w:t>
            </w:r>
            <w:r w:rsidR="00567804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listed with the standards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but never addressed anywhere.</w:t>
            </w:r>
          </w:p>
        </w:tc>
      </w:tr>
      <w:tr w:rsidR="00FF2E76" w:rsidRPr="00FF2E76" w14:paraId="27E08058" w14:textId="77777777" w:rsidTr="00833B0E">
        <w:trPr>
          <w:trHeight w:hRule="exact" w:val="4591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91C414A" w14:textId="5BA5BA39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97" w:after="0" w:line="245" w:lineRule="auto"/>
              <w:ind w:left="365" w:right="178" w:hanging="27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Specifies the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desi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ed</w:t>
            </w:r>
            <w:r w:rsidRPr="00833B0E">
              <w:rPr>
                <w:rFonts w:ascii="Times New Roman" w:eastAsiaTheme="minorEastAsia" w:hAnsi="Times New Roman" w:cs="Times New Roman"/>
                <w:spacing w:val="-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long-term</w:t>
            </w:r>
            <w:r w:rsidRPr="00833B0E">
              <w:rPr>
                <w:rFonts w:ascii="Times New Roman" w:eastAsiaTheme="minorEastAsia" w:hAnsi="Times New Roman" w:cs="Times New Roman"/>
                <w:spacing w:val="17"/>
                <w:sz w:val="20"/>
                <w:szCs w:val="20"/>
                <w:lang w:eastAsia="ja-JP"/>
              </w:rPr>
              <w:t xml:space="preserve"> </w:t>
            </w:r>
            <w:r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transfer goals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that</w:t>
            </w:r>
            <w:r w:rsidRPr="00833B0E">
              <w:rPr>
                <w:rFonts w:ascii="Times New Roman" w:eastAsiaTheme="minorEastAsia" w:hAnsi="Times New Roman" w:cs="Times New Roman"/>
                <w:spacing w:val="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involve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genuine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accomplishment.</w:t>
            </w:r>
          </w:p>
          <w:p w14:paraId="1C015D9F" w14:textId="77777777" w:rsidR="00FF2E76" w:rsidRPr="00833B0E" w:rsidRDefault="00FF2E76" w:rsidP="00FF2E76">
            <w:pPr>
              <w:pStyle w:val="ListParagraph"/>
              <w:widowControl w:val="0"/>
              <w:autoSpaceDE w:val="0"/>
              <w:autoSpaceDN w:val="0"/>
              <w:adjustRightInd w:val="0"/>
              <w:spacing w:before="97" w:after="0" w:line="245" w:lineRule="auto"/>
              <w:ind w:left="355" w:right="178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566062A7" w14:textId="7B7156E7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-2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Identifies important, transferable ideas worth exploring and understanding.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2F877C" w14:textId="77777777" w:rsidR="00FF2E76" w:rsidRPr="00833B0E" w:rsidRDefault="00FF2E76" w:rsidP="00FF2E76">
            <w:pPr>
              <w:widowControl w:val="0"/>
              <w:autoSpaceDE w:val="0"/>
              <w:autoSpaceDN w:val="0"/>
              <w:adjustRightInd w:val="0"/>
              <w:spacing w:before="96" w:after="0"/>
              <w:ind w:left="87" w:right="-2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w w:val="90"/>
                <w:sz w:val="20"/>
                <w:szCs w:val="20"/>
                <w:lang w:eastAsia="ja-JP"/>
              </w:rPr>
              <w:t>All</w:t>
            </w:r>
            <w:r w:rsidRPr="00833B0E">
              <w:rPr>
                <w:rFonts w:ascii="Times New Roman" w:eastAsiaTheme="minorEastAsia" w:hAnsi="Times New Roman" w:cs="Times New Roman"/>
                <w:spacing w:val="5"/>
                <w:w w:val="9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listed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transfer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goals—</w:t>
            </w:r>
          </w:p>
          <w:p w14:paraId="21047DBE" w14:textId="696F7B2A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4" w:after="0" w:line="245" w:lineRule="auto"/>
              <w:ind w:left="360" w:right="262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framed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in</w:t>
            </w:r>
            <w:r w:rsidRPr="00833B0E">
              <w:rPr>
                <w:rFonts w:ascii="Times New Roman" w:eastAsiaTheme="minorEastAsia" w:hAnsi="Times New Roman" w:cs="Times New Roman"/>
                <w:spacing w:val="-11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terms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of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7"/>
                <w:sz w:val="20"/>
                <w:szCs w:val="20"/>
                <w:lang w:eastAsia="ja-JP"/>
              </w:rPr>
              <w:t xml:space="preserve">application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of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prior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lea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ning</w:t>
            </w:r>
            <w:r w:rsidRPr="00833B0E">
              <w:rPr>
                <w:rFonts w:ascii="Times New Roman" w:eastAsiaTheme="minorEastAsia" w:hAnsi="Times New Roman" w:cs="Times New Roman"/>
                <w:spacing w:val="4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esent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and</w:t>
            </w:r>
            <w:r w:rsidRPr="00833B0E">
              <w:rPr>
                <w:rFonts w:ascii="Times New Roman" w:eastAsiaTheme="minorEastAsia" w:hAnsi="Times New Roman" w:cs="Times New Roman"/>
                <w:spacing w:val="-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futu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6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-1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situations.</w:t>
            </w:r>
          </w:p>
          <w:p w14:paraId="4458B797" w14:textId="6EE97310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5" w:lineRule="auto"/>
              <w:ind w:left="360" w:right="73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Requi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8"/>
                <w:w w:val="9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students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find</w:t>
            </w:r>
            <w:r w:rsidRPr="00833B0E">
              <w:rPr>
                <w:rFonts w:ascii="Times New Roman" w:eastAsiaTheme="minorEastAsia" w:hAnsi="Times New Roman" w:cs="Times New Roman"/>
                <w:spacing w:val="-11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and</w:t>
            </w:r>
            <w:r w:rsidRPr="00833B0E">
              <w:rPr>
                <w:rFonts w:ascii="Times New Roman" w:eastAsiaTheme="minorEastAsia" w:hAnsi="Times New Roman" w:cs="Times New Roman"/>
                <w:spacing w:val="-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add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6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ess</w:t>
            </w:r>
            <w:r w:rsidRPr="00833B0E">
              <w:rPr>
                <w:rFonts w:ascii="Times New Roman" w:eastAsiaTheme="minorEastAsia" w:hAnsi="Times New Roman" w:cs="Times New Roman"/>
                <w:spacing w:val="7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6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eal-world</w:t>
            </w:r>
            <w:r w:rsidRPr="00833B0E">
              <w:rPr>
                <w:rFonts w:ascii="Times New Roman" w:eastAsiaTheme="minorEastAsia" w:hAnsi="Times New Roman" w:cs="Times New Roman"/>
                <w:spacing w:val="8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issues,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oblems,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and</w:t>
            </w:r>
            <w:r w:rsidRPr="00833B0E">
              <w:rPr>
                <w:rFonts w:ascii="Times New Roman" w:eastAsiaTheme="minorEastAsia" w:hAnsi="Times New Roman" w:cs="Times New Roman"/>
                <w:spacing w:val="-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applications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of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their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lea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ning.</w:t>
            </w:r>
          </w:p>
          <w:p w14:paraId="1969F2F0" w14:textId="0BB85FD1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0" w:line="245" w:lineRule="auto"/>
              <w:ind w:left="360" w:right="73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Requi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8"/>
                <w:w w:val="9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students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show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inc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5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easing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autonomy</w:t>
            </w:r>
            <w:r w:rsidRPr="00833B0E">
              <w:rPr>
                <w:rFonts w:ascii="Times New Roman" w:eastAsiaTheme="minorEastAsia" w:hAnsi="Times New Roman" w:cs="Times New Roman"/>
                <w:spacing w:val="17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in</w:t>
            </w:r>
            <w:r w:rsidRPr="00833B0E">
              <w:rPr>
                <w:rFonts w:ascii="Times New Roman" w:eastAsiaTheme="minorEastAsia" w:hAnsi="Times New Roman" w:cs="Times New Roman"/>
                <w:spacing w:val="-11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using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their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prior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lea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ning</w:t>
            </w:r>
            <w:r w:rsidRPr="00833B0E">
              <w:rPr>
                <w:rFonts w:ascii="Times New Roman" w:eastAsiaTheme="minorEastAsia" w:hAnsi="Times New Roman" w:cs="Times New Roman"/>
                <w:spacing w:val="4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in</w:t>
            </w:r>
            <w:r w:rsidRPr="00833B0E">
              <w:rPr>
                <w:rFonts w:ascii="Times New Roman" w:eastAsiaTheme="minorEastAsia" w:hAnsi="Times New Roman" w:cs="Times New Roman"/>
                <w:spacing w:val="-1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new</w:t>
            </w:r>
            <w:r w:rsidRPr="00833B0E">
              <w:rPr>
                <w:rFonts w:ascii="Times New Roman" w:eastAsiaTheme="minorEastAsia" w:hAnsi="Times New Roman" w:cs="Times New Roman"/>
                <w:spacing w:val="-9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situations.</w:t>
            </w:r>
          </w:p>
          <w:p w14:paraId="34F2F3B1" w14:textId="322F77B2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00" w:lineRule="exact"/>
              <w:ind w:left="357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Reflect key ideas (concepts, theories, themes, principles, etc.) for this topic and the discipline.</w:t>
            </w:r>
          </w:p>
          <w:p w14:paraId="4AB57A95" w14:textId="206B4286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00" w:lineRule="exact"/>
              <w:ind w:left="357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Will very likely develop and deepen student meaning-making and enable transfer.</w:t>
            </w:r>
          </w:p>
        </w:tc>
        <w:tc>
          <w:tcPr>
            <w:tcW w:w="3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25599" w14:textId="77777777" w:rsidR="00FF2E76" w:rsidRPr="00833B0E" w:rsidRDefault="00FF2E76" w:rsidP="00FF2E76">
            <w:pPr>
              <w:widowControl w:val="0"/>
              <w:autoSpaceDE w:val="0"/>
              <w:autoSpaceDN w:val="0"/>
              <w:adjustRightInd w:val="0"/>
              <w:spacing w:before="96" w:after="0" w:line="245" w:lineRule="auto"/>
              <w:ind w:left="115" w:right="174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Some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or</w:t>
            </w:r>
            <w:r w:rsidRPr="00833B0E">
              <w:rPr>
                <w:rFonts w:ascii="Times New Roman" w:eastAsiaTheme="minorEastAsia" w:hAnsi="Times New Roman" w:cs="Times New Roman"/>
                <w:spacing w:val="-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88"/>
                <w:sz w:val="20"/>
                <w:szCs w:val="20"/>
                <w:lang w:eastAsia="ja-JP"/>
              </w:rPr>
              <w:t>all</w:t>
            </w:r>
            <w:r w:rsidRPr="00833B0E">
              <w:rPr>
                <w:rFonts w:ascii="Times New Roman" w:eastAsiaTheme="minorEastAsia" w:hAnsi="Times New Roman" w:cs="Times New Roman"/>
                <w:spacing w:val="6"/>
                <w:w w:val="8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listed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items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suggest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transfer</w:t>
            </w:r>
            <w:r w:rsidRPr="00833B0E">
              <w:rPr>
                <w:rFonts w:ascii="Times New Roman" w:eastAsiaTheme="minorEastAsia" w:hAnsi="Times New Roman" w:cs="Times New Roman"/>
                <w:spacing w:val="-1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goals,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but—</w:t>
            </w:r>
          </w:p>
          <w:p w14:paraId="677BA1F8" w14:textId="175D3295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5" w:lineRule="auto"/>
              <w:ind w:left="360" w:right="20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w w:val="9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goals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too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vaguely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stated</w:t>
            </w:r>
            <w:r w:rsidRPr="00833B0E">
              <w:rPr>
                <w:rFonts w:ascii="Times New Roman" w:eastAsiaTheme="minorEastAsia" w:hAnsi="Times New Roman" w:cs="Times New Roman"/>
                <w:spacing w:val="-9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</w:t>
            </w:r>
            <w:r w:rsidRPr="00833B0E">
              <w:rPr>
                <w:rFonts w:ascii="Times New Roman" w:eastAsiaTheme="minorEastAsia" w:hAnsi="Times New Roman" w:cs="Times New Roman"/>
                <w:spacing w:val="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know whether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or</w:t>
            </w:r>
            <w:r w:rsidRPr="00833B0E">
              <w:rPr>
                <w:rFonts w:ascii="Times New Roman" w:eastAsiaTheme="minorEastAsia" w:hAnsi="Times New Roman" w:cs="Times New Roman"/>
                <w:spacing w:val="-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not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transfer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is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1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1"/>
                <w:sz w:val="20"/>
                <w:szCs w:val="20"/>
                <w:lang w:eastAsia="ja-JP"/>
              </w:rPr>
              <w:t>eally</w:t>
            </w:r>
            <w:r w:rsidRPr="00833B0E">
              <w:rPr>
                <w:rFonts w:ascii="Times New Roman" w:eastAsiaTheme="minorEastAsia" w:hAnsi="Times New Roman" w:cs="Times New Roman"/>
                <w:spacing w:val="1"/>
                <w:w w:val="91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goal.</w:t>
            </w:r>
          </w:p>
          <w:p w14:paraId="05460151" w14:textId="62C149D0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/>
              <w:ind w:left="360" w:right="-20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pacing w:val="-15"/>
                <w:w w:val="94"/>
                <w:sz w:val="20"/>
                <w:szCs w:val="20"/>
                <w:lang w:eastAsia="ja-JP"/>
              </w:rPr>
              <w:t>T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ransfe</w:t>
            </w:r>
            <w:r w:rsidRPr="00833B0E">
              <w:rPr>
                <w:rFonts w:ascii="Times New Roman" w:eastAsiaTheme="minorEastAsia" w:hAnsi="Times New Roman" w:cs="Times New Roman"/>
                <w:spacing w:val="-8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-like</w:t>
            </w:r>
            <w:r w:rsidRPr="00833B0E">
              <w:rPr>
                <w:rFonts w:ascii="Times New Roman" w:eastAsiaTheme="minorEastAsia" w:hAnsi="Times New Roman" w:cs="Times New Roman"/>
                <w:spacing w:val="1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language</w:t>
            </w:r>
            <w:r w:rsidRPr="00833B0E">
              <w:rPr>
                <w:rFonts w:ascii="Times New Roman" w:eastAsiaTheme="minorEastAsia" w:hAnsi="Times New Roman" w:cs="Times New Roman"/>
                <w:spacing w:val="10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is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used,</w:t>
            </w:r>
            <w:r w:rsidRPr="00833B0E">
              <w:rPr>
                <w:rFonts w:ascii="Times New Roman" w:eastAsiaTheme="minorEastAsia" w:hAnsi="Times New Roman" w:cs="Times New Roman"/>
                <w:spacing w:val="-1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101"/>
                <w:sz w:val="20"/>
                <w:szCs w:val="20"/>
                <w:lang w:eastAsia="ja-JP"/>
              </w:rPr>
              <w:t>but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it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is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unclear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whether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aim</w:t>
            </w:r>
            <w:r w:rsidRPr="00833B0E">
              <w:rPr>
                <w:rFonts w:ascii="Times New Roman" w:eastAsiaTheme="minorEastAsia" w:hAnsi="Times New Roman" w:cs="Times New Roman"/>
                <w:spacing w:val="-1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is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 xml:space="preserve">transfer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or</w:t>
            </w:r>
            <w:r w:rsidRPr="00833B0E">
              <w:rPr>
                <w:rFonts w:ascii="Times New Roman" w:eastAsiaTheme="minorEastAsia" w:hAnsi="Times New Roman" w:cs="Times New Roman"/>
                <w:spacing w:val="-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just</w:t>
            </w:r>
            <w:r w:rsidRPr="00833B0E">
              <w:rPr>
                <w:rFonts w:ascii="Times New Roman" w:eastAsiaTheme="minorEastAsia" w:hAnsi="Times New Roman" w:cs="Times New Roman"/>
                <w:spacing w:val="-11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ompted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display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of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specific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="00833B0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skills</w:t>
            </w:r>
          </w:p>
          <w:p w14:paraId="5BD6AF14" w14:textId="2CFC118A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4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Reference ideas, but they are not the </w:t>
            </w:r>
            <w:r w:rsidR="00833B0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most important</w:t>
            </w:r>
          </w:p>
          <w:p w14:paraId="75A5BB29" w14:textId="6E2EB311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4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important ideas but not really re</w:t>
            </w:r>
            <w:r w:rsidR="00833B0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levant to the work of this unit</w:t>
            </w:r>
          </w:p>
          <w:p w14:paraId="275CAF94" w14:textId="376BD759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4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interesting ideas but not useful </w:t>
            </w:r>
            <w:r w:rsidR="00833B0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for meeting unit goals</w:t>
            </w:r>
          </w:p>
          <w:p w14:paraId="64925E52" w14:textId="74C802EE" w:rsidR="00833B0E" w:rsidRPr="00833B0E" w:rsidRDefault="00FF2E76" w:rsidP="00833B0E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4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Will not likely require extended </w:t>
            </w:r>
            <w:r w:rsidR="00833B0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inquiry to grasp</w:t>
            </w:r>
          </w:p>
          <w:p w14:paraId="2F2C7EC5" w14:textId="1D010355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4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Need to be more general, theoretical, or conceptual to be transferable.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735677F7" w14:textId="55203665" w:rsidR="00FF2E76" w:rsidRPr="00833B0E" w:rsidRDefault="00FF2E76" w:rsidP="00FF2E76">
            <w:pPr>
              <w:widowControl w:val="0"/>
              <w:autoSpaceDE w:val="0"/>
              <w:autoSpaceDN w:val="0"/>
              <w:adjustRightInd w:val="0"/>
              <w:spacing w:before="95" w:after="0"/>
              <w:ind w:left="107" w:right="1113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Some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or</w:t>
            </w:r>
            <w:r w:rsidRPr="00833B0E">
              <w:rPr>
                <w:rFonts w:ascii="Times New Roman" w:eastAsiaTheme="minorEastAsia" w:hAnsi="Times New Roman" w:cs="Times New Roman"/>
                <w:spacing w:val="-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88"/>
                <w:sz w:val="20"/>
                <w:szCs w:val="20"/>
                <w:lang w:eastAsia="ja-JP"/>
              </w:rPr>
              <w:t>all</w:t>
            </w:r>
            <w:r w:rsidRPr="00833B0E">
              <w:rPr>
                <w:rFonts w:ascii="Times New Roman" w:eastAsiaTheme="minorEastAsia" w:hAnsi="Times New Roman" w:cs="Times New Roman"/>
                <w:spacing w:val="6"/>
                <w:w w:val="8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listed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items—</w:t>
            </w:r>
          </w:p>
          <w:p w14:paraId="57454321" w14:textId="46DCF889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95" w:after="0"/>
              <w:ind w:left="362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not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transfer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goals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but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goals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elated</w:t>
            </w:r>
            <w:r w:rsidRPr="00833B0E">
              <w:rPr>
                <w:rFonts w:ascii="Times New Roman" w:eastAsiaTheme="minorEastAsia" w:hAnsi="Times New Roman" w:cs="Times New Roman"/>
                <w:spacing w:val="7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disc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ete</w:t>
            </w:r>
            <w:r w:rsidRPr="00833B0E">
              <w:rPr>
                <w:rFonts w:ascii="Times New Roman" w:eastAsiaTheme="minorEastAsia" w:hAnsi="Times New Roman" w:cs="Times New Roman"/>
                <w:spacing w:val="-1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skills</w:t>
            </w:r>
          </w:p>
          <w:p w14:paraId="172D2155" w14:textId="18C77CBB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95" w:after="0"/>
              <w:ind w:left="362" w:right="355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Do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not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equi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5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deliberate</w:t>
            </w:r>
            <w:r w:rsidRPr="00833B0E">
              <w:rPr>
                <w:rFonts w:ascii="Times New Roman" w:eastAsiaTheme="minorEastAsia" w:hAnsi="Times New Roman" w:cs="Times New Roman"/>
                <w:spacing w:val="10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and</w:t>
            </w:r>
            <w:r w:rsidRPr="00833B0E">
              <w:rPr>
                <w:rFonts w:ascii="Times New Roman" w:eastAsiaTheme="minorEastAsia" w:hAnsi="Times New Roman" w:cs="Times New Roman"/>
                <w:spacing w:val="-8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adaptive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transfer;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they</w:t>
            </w:r>
            <w:r w:rsidRPr="00833B0E">
              <w:rPr>
                <w:rFonts w:ascii="Times New Roman" w:eastAsiaTheme="minorEastAsia" w:hAnsi="Times New Roman" w:cs="Times New Roman"/>
                <w:spacing w:val="-1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me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ely</w:t>
            </w:r>
            <w:r w:rsidRPr="00833B0E">
              <w:rPr>
                <w:rFonts w:ascii="Times New Roman" w:eastAsiaTheme="minorEastAsia" w:hAnsi="Times New Roman" w:cs="Times New Roman"/>
                <w:spacing w:val="8"/>
                <w:w w:val="9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equi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3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11"/>
                <w:w w:val="93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“plugging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in”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of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prior</w:t>
            </w:r>
            <w:r w:rsidRPr="00833B0E">
              <w:rPr>
                <w:rFonts w:ascii="Times New Roman" w:eastAsiaTheme="minorEastAsia" w:hAnsi="Times New Roman" w:cs="Times New Roman"/>
                <w:spacing w:val="-10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lea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ning</w:t>
            </w:r>
          </w:p>
          <w:p w14:paraId="39647346" w14:textId="63768D56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95" w:after="0"/>
              <w:ind w:left="360" w:right="355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Do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not 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equi</w:t>
            </w:r>
            <w:r w:rsidRPr="00833B0E">
              <w:rPr>
                <w:rFonts w:ascii="Times New Roman" w:eastAsiaTheme="minorEastAsia" w:hAnsi="Times New Roman" w:cs="Times New Roman"/>
                <w:spacing w:val="-3"/>
                <w:w w:val="94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4"/>
                <w:sz w:val="20"/>
                <w:szCs w:val="20"/>
                <w:lang w:eastAsia="ja-JP"/>
              </w:rPr>
              <w:t>e</w:t>
            </w:r>
            <w:r w:rsidRPr="00833B0E">
              <w:rPr>
                <w:rFonts w:ascii="Times New Roman" w:eastAsiaTheme="minorEastAsia" w:hAnsi="Times New Roman" w:cs="Times New Roman"/>
                <w:spacing w:val="5"/>
                <w:w w:val="9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any</w:t>
            </w:r>
            <w:r w:rsidRPr="00833B0E">
              <w:rPr>
                <w:rFonts w:ascii="Times New Roman" w:eastAsiaTheme="minorEastAsia" w:hAnsi="Times New Roman" w:cs="Times New Roman"/>
                <w:spacing w:val="-1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7"/>
                <w:sz w:val="20"/>
                <w:szCs w:val="20"/>
                <w:lang w:eastAsia="ja-JP"/>
              </w:rPr>
              <w:t>autonomy</w:t>
            </w:r>
            <w:r w:rsidRPr="00833B0E">
              <w:rPr>
                <w:rFonts w:ascii="Times New Roman" w:eastAsiaTheme="minorEastAsia" w:hAnsi="Times New Roman" w:cs="Times New Roman"/>
                <w:spacing w:val="1"/>
                <w:w w:val="9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or</w:t>
            </w:r>
            <w:r w:rsidRPr="00833B0E">
              <w:rPr>
                <w:rFonts w:ascii="Times New Roman" w:eastAsiaTheme="minorEastAsia" w:hAnsi="Times New Roman" w:cs="Times New Roman"/>
                <w:spacing w:val="-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strategic</w:t>
            </w:r>
            <w:r w:rsidRPr="00833B0E">
              <w:rPr>
                <w:rFonts w:ascii="Times New Roman" w:eastAsiaTheme="minorEastAsia" w:hAnsi="Times New Roman" w:cs="Times New Roman"/>
                <w:spacing w:val="-7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w w:val="96"/>
                <w:sz w:val="20"/>
                <w:szCs w:val="20"/>
                <w:lang w:eastAsia="ja-JP"/>
              </w:rPr>
              <w:t>thinking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6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on</w:t>
            </w:r>
            <w:r w:rsidRPr="00833B0E">
              <w:rPr>
                <w:rFonts w:ascii="Times New Roman" w:eastAsiaTheme="minorEastAsia" w:hAnsi="Times New Roman" w:cs="Times New Roman"/>
                <w:spacing w:val="-4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the 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lea</w:t>
            </w:r>
            <w:r w:rsidRPr="00833B0E">
              <w:rPr>
                <w:rFonts w:ascii="Times New Roman" w:eastAsiaTheme="minorEastAsia" w:hAnsi="Times New Roman" w:cs="Times New Roman"/>
                <w:spacing w:val="3"/>
                <w:w w:val="95"/>
                <w:sz w:val="20"/>
                <w:szCs w:val="20"/>
                <w:lang w:eastAsia="ja-JP"/>
              </w:rPr>
              <w:t>r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ner</w:t>
            </w:r>
            <w:r w:rsidRPr="00833B0E">
              <w:rPr>
                <w:rFonts w:ascii="Times New Roman" w:eastAsiaTheme="minorEastAsia" w:hAnsi="Times New Roman" w:cs="Times New Roman"/>
                <w:spacing w:val="-18"/>
                <w:w w:val="95"/>
                <w:sz w:val="20"/>
                <w:szCs w:val="20"/>
                <w:lang w:eastAsia="ja-JP"/>
              </w:rPr>
              <w:t>’</w:t>
            </w:r>
            <w:r w:rsidRPr="00833B0E">
              <w:rPr>
                <w:rFonts w:ascii="Times New Roman" w:eastAsiaTheme="minorEastAsia" w:hAnsi="Times New Roman" w:cs="Times New Roman"/>
                <w:w w:val="95"/>
                <w:sz w:val="20"/>
                <w:szCs w:val="20"/>
                <w:lang w:eastAsia="ja-JP"/>
              </w:rPr>
              <w:t>s</w:t>
            </w:r>
            <w:r w:rsidRPr="00833B0E">
              <w:rPr>
                <w:rFonts w:ascii="Times New Roman" w:eastAsiaTheme="minorEastAsia" w:hAnsi="Times New Roman" w:cs="Times New Roman"/>
                <w:spacing w:val="2"/>
                <w:w w:val="95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part</w:t>
            </w:r>
          </w:p>
          <w:p w14:paraId="49999DAC" w14:textId="55C116A7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3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really facts that need only to be apprehended; they are not ideas that require analysis or the result of inference and meaning making</w:t>
            </w:r>
          </w:p>
          <w:p w14:paraId="64001C9C" w14:textId="0AB4D0F6" w:rsidR="00FF2E76" w:rsidRPr="00833B0E" w:rsidRDefault="00FF2E76" w:rsidP="00FF2E76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left="353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trivial or vague ideas that provide no rich intellectual goal or focus</w:t>
            </w:r>
          </w:p>
        </w:tc>
      </w:tr>
      <w:tr w:rsidR="00CA3149" w:rsidRPr="00FF2E76" w14:paraId="299C1F59" w14:textId="77777777" w:rsidTr="00FF2E76">
        <w:trPr>
          <w:trHeight w:hRule="exact" w:val="2791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6702557" w14:textId="77A7493C" w:rsidR="00610A7E" w:rsidRPr="00833B0E" w:rsidRDefault="00610A7E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-2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Identifies </w:t>
            </w:r>
            <w:r w:rsidR="00C76412"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enduring</w:t>
            </w:r>
            <w:r w:rsidR="00C76412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understandings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stated as full-sentenced generalizations.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562C2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All listed understandings – </w:t>
            </w:r>
          </w:p>
          <w:p w14:paraId="125E6898" w14:textId="58E723C9" w:rsidR="007C55A4" w:rsidRPr="00833B0E" w:rsidRDefault="007C55A4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concept-driven statements created from 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the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BIG IDEAS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articulated in the standards</w:t>
            </w:r>
            <w:r w:rsidR="006E6038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  <w:p w14:paraId="4ADF5C8B" w14:textId="24DF99BE" w:rsidR="007C55A4" w:rsidRPr="00833B0E" w:rsidRDefault="00710E39" w:rsidP="007C55A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Summarize</w:t>
            </w:r>
            <w:r w:rsidR="007C55A4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important strategic principles in skill areas.</w:t>
            </w:r>
            <w:r w:rsidR="00A13FB7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(E.g. the appropriate use of specific strategies)</w:t>
            </w:r>
          </w:p>
          <w:p w14:paraId="11BA7263" w14:textId="73214D3F" w:rsidR="00610A7E" w:rsidRPr="00833B0E" w:rsidRDefault="00610A7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framed as full-sentence generalizations, specifying the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inferences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we want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students to come to understand</w:t>
            </w:r>
          </w:p>
        </w:tc>
        <w:tc>
          <w:tcPr>
            <w:tcW w:w="3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C30580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/>
              <w:ind w:left="9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items include important ideas (e.g., key concepts or theories) but – </w:t>
            </w:r>
          </w:p>
          <w:p w14:paraId="1018A9F6" w14:textId="52D680E7" w:rsidR="00A13FB7" w:rsidRPr="00833B0E" w:rsidRDefault="00610A7E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not framed as full sentenc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e generalizations</w:t>
            </w:r>
          </w:p>
          <w:p w14:paraId="22C31B2F" w14:textId="26C3461F" w:rsidR="00A13FB7" w:rsidRPr="00833B0E" w:rsidRDefault="00610A7E" w:rsidP="00A13F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framed as full sentences, but provide little more than simple factual statements or definitions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rather than summary inferences</w:t>
            </w:r>
          </w:p>
          <w:p w14:paraId="4D26C5AC" w14:textId="0EBB7847" w:rsidR="00610A7E" w:rsidRPr="00833B0E" w:rsidRDefault="00280D1A" w:rsidP="00A13F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</w:t>
            </w:r>
            <w:r w:rsidR="00A13FB7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generalizations, </w:t>
            </w:r>
            <w:r w:rsidR="006E6038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truisms or otherwise obvious/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superficial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</w:tcPr>
          <w:p w14:paraId="637A44F4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items – </w:t>
            </w:r>
          </w:p>
          <w:p w14:paraId="3DE8AF51" w14:textId="7A33BC01" w:rsidR="00A13FB7" w:rsidRPr="00833B0E" w:rsidRDefault="00610A7E" w:rsidP="00833B0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facts, skills, indicators, or other content 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objectives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 (These should be placed in the Knowledge or Skill boxes on the template.)</w:t>
            </w:r>
          </w:p>
          <w:p w14:paraId="6F2CED65" w14:textId="19C95B40" w:rsidR="00610A7E" w:rsidRPr="00833B0E" w:rsidRDefault="00610A7E" w:rsidP="00D462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stated as phrases: they just state the topi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c, not the understanding sought</w:t>
            </w:r>
          </w:p>
        </w:tc>
      </w:tr>
      <w:tr w:rsidR="00CA3149" w:rsidRPr="00FF2E76" w14:paraId="75A89A1C" w14:textId="77777777" w:rsidTr="008B2E4D">
        <w:trPr>
          <w:trHeight w:hRule="exact" w:val="3430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6B6349" w14:textId="77777777" w:rsidR="00610A7E" w:rsidRPr="00833B0E" w:rsidRDefault="00610A7E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-2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lastRenderedPageBreak/>
              <w:t xml:space="preserve">Is framed by a few open-ended, </w:t>
            </w:r>
            <w:r w:rsidR="005435CB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thought provoking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, and focusing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essential questions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13D5" w14:textId="77777777" w:rsidR="00833B0E" w:rsidRDefault="00833B0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63CCCC12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All listed </w:t>
            </w:r>
            <w:r w:rsidR="00C4249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questions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– </w:t>
            </w:r>
          </w:p>
          <w:p w14:paraId="39947AE4" w14:textId="2F0B8716" w:rsidR="00C224C8" w:rsidRPr="00833B0E" w:rsidRDefault="00610A7E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Will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focus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the unit on important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transferable ideas</w:t>
            </w:r>
          </w:p>
          <w:p w14:paraId="0EBE6403" w14:textId="77777777" w:rsidR="007E74E6" w:rsidRDefault="00610A7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genuinely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thought provoking</w:t>
            </w:r>
          </w:p>
          <w:p w14:paraId="06FFB366" w14:textId="2A1D8AFA" w:rsidR="007E74E6" w:rsidRDefault="007E74E6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Will foster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meaning making</w:t>
            </w:r>
            <w:r w:rsidRPr="007E74E6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to help the learner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 understand</w:t>
            </w:r>
          </w:p>
          <w:p w14:paraId="0552707A" w14:textId="498CD3CE" w:rsidR="00610A7E" w:rsidRPr="00833B0E" w:rsidRDefault="007E74E6" w:rsidP="007E74E6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W</w:t>
            </w:r>
            <w:r w:rsidR="00610A7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ill likely foster </w:t>
            </w:r>
            <w:r w:rsidR="00610A7E"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student interest</w:t>
            </w:r>
            <w:r w:rsidR="00610A7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3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CD7C" w14:textId="77777777" w:rsidR="00833B0E" w:rsidRDefault="00833B0E" w:rsidP="00D4628A">
            <w:pPr>
              <w:widowControl w:val="0"/>
              <w:autoSpaceDE w:val="0"/>
              <w:autoSpaceDN w:val="0"/>
              <w:adjustRightInd w:val="0"/>
              <w:spacing w:after="0"/>
              <w:ind w:left="9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46B1AF64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/>
              <w:ind w:left="9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items include important ideas (e.g., key concepts or theories) but – </w:t>
            </w:r>
          </w:p>
          <w:p w14:paraId="7F6741B0" w14:textId="24975618" w:rsidR="00A13FB7" w:rsidRPr="00833B0E" w:rsidRDefault="00610A7E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only somewhat appropriate for understanding the content (even if 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they are interesting questions)</w:t>
            </w:r>
          </w:p>
          <w:p w14:paraId="5822BD2F" w14:textId="51BF17CE" w:rsidR="00A13FB7" w:rsidRPr="00833B0E" w:rsidRDefault="00710E39" w:rsidP="00A13F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not very thought provoking</w:t>
            </w:r>
          </w:p>
          <w:p w14:paraId="17FC56A6" w14:textId="57D885FF" w:rsidR="00A13FB7" w:rsidRPr="00833B0E" w:rsidRDefault="00710E39" w:rsidP="00A13FB7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too convergent</w:t>
            </w:r>
          </w:p>
          <w:p w14:paraId="0F51F3D6" w14:textId="6AF964B3" w:rsidR="00710E39" w:rsidRPr="00833B0E" w:rsidRDefault="002D0D33" w:rsidP="00710E3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somewhat leading (teacherly) </w:t>
            </w:r>
            <w:r w:rsidR="00610A7E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because they seem like they are fishing for the already-approved answers rather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than framed to provoke thought</w:t>
            </w:r>
          </w:p>
          <w:p w14:paraId="6DD65C5F" w14:textId="77777777" w:rsidR="00610A7E" w:rsidRPr="00833B0E" w:rsidRDefault="00610A7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May be essential, but there are too many questions to focus the unit.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D37FB05" w14:textId="77777777" w:rsidR="00833B0E" w:rsidRDefault="00833B0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  <w:p w14:paraId="53A29695" w14:textId="77777777" w:rsidR="00610A7E" w:rsidRPr="00833B0E" w:rsidRDefault="00610A7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items – </w:t>
            </w:r>
          </w:p>
          <w:p w14:paraId="53A7E3AF" w14:textId="126D9216" w:rsidR="00A13FB7" w:rsidRPr="00833B0E" w:rsidRDefault="00610A7E" w:rsidP="00833B0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Fact questions</w:t>
            </w:r>
          </w:p>
          <w:p w14:paraId="6AD6816B" w14:textId="1E4FDB40" w:rsidR="00A13FB7" w:rsidRPr="00833B0E" w:rsidRDefault="00610A7E" w:rsidP="00A13FB7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Not important o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r not worthy devoting a unit to</w:t>
            </w:r>
          </w:p>
          <w:p w14:paraId="29622886" w14:textId="06B293B3" w:rsidR="00A13FB7" w:rsidRPr="00833B0E" w:rsidRDefault="00610A7E" w:rsidP="00A13FB7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Not thought provoking; not likely to be of interest to students.</w:t>
            </w:r>
          </w:p>
          <w:p w14:paraId="6339E6A2" w14:textId="2BEF7A6A" w:rsidR="00A13FB7" w:rsidRPr="00833B0E" w:rsidRDefault="00710E39" w:rsidP="00A13FB7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Too narrow and leading</w:t>
            </w:r>
          </w:p>
          <w:p w14:paraId="78302294" w14:textId="672E9A3B" w:rsidR="00610A7E" w:rsidRPr="00833B0E" w:rsidRDefault="00610A7E" w:rsidP="00D462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So vague as to suggest little in the way of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inquiry and focus for learners</w:t>
            </w:r>
          </w:p>
          <w:p w14:paraId="69AB8F62" w14:textId="77777777" w:rsidR="00610A7E" w:rsidRPr="00833B0E" w:rsidRDefault="00610A7E" w:rsidP="00D4628A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358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CA3149" w:rsidRPr="00FF2E76" w14:paraId="3061E870" w14:textId="77777777" w:rsidTr="008B2E4D">
        <w:trPr>
          <w:trHeight w:hRule="exact" w:val="1531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2D1982" w14:textId="056A07FA" w:rsidR="00C4249E" w:rsidRPr="00833B0E" w:rsidRDefault="00C4249E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-2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Identifies </w:t>
            </w:r>
            <w:r w:rsidRPr="00C76412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knowledge and skill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needed to achieve understanding a</w:t>
            </w:r>
            <w:r w:rsidR="002D0D33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nd address the standards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B73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All listed knowledge and skills – </w:t>
            </w:r>
          </w:p>
          <w:p w14:paraId="103B5B17" w14:textId="014D8EB7" w:rsidR="00C224C8" w:rsidRPr="00833B0E" w:rsidRDefault="00C4249E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Address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key content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needed for transfer and meaning</w:t>
            </w:r>
          </w:p>
          <w:p w14:paraId="74ED57DA" w14:textId="6E53E2FD" w:rsidR="00C4249E" w:rsidRPr="00833B0E" w:rsidRDefault="00C4249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Address con</w:t>
            </w:r>
            <w:r w:rsidR="002D0D33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tent </w:t>
            </w:r>
            <w:r w:rsidR="002D0D33"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related</w:t>
            </w:r>
            <w:r w:rsidR="002D0D33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to the standards</w:t>
            </w:r>
          </w:p>
        </w:tc>
        <w:tc>
          <w:tcPr>
            <w:tcW w:w="3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44F9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knowledge and skills – </w:t>
            </w:r>
          </w:p>
          <w:p w14:paraId="3376BB1A" w14:textId="5615AE93" w:rsidR="00710E39" w:rsidRPr="00833B0E" w:rsidRDefault="00C4249E" w:rsidP="00833B0E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Address key content, but the content is not essentia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l for understanding or transfer</w:t>
            </w:r>
          </w:p>
          <w:p w14:paraId="7DB54509" w14:textId="7E3161D5" w:rsidR="00C4249E" w:rsidRPr="00833B0E" w:rsidRDefault="00C4249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5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The content isn’t clearly connected to</w:t>
            </w:r>
            <w:r w:rsidR="00710E39"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the unit and its overall focus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E2657BE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or all listed knowledge and skills – </w:t>
            </w:r>
          </w:p>
          <w:p w14:paraId="7589F259" w14:textId="5DE91E06" w:rsidR="00710E39" w:rsidRPr="00833B0E" w:rsidRDefault="00710E39" w:rsidP="00833B0E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not key content</w:t>
            </w:r>
          </w:p>
          <w:p w14:paraId="0B1FF216" w14:textId="0872FBEC" w:rsidR="00C4249E" w:rsidRPr="00833B0E" w:rsidRDefault="00710E39" w:rsidP="00D4628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358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not relevant to this unit</w:t>
            </w:r>
          </w:p>
          <w:p w14:paraId="6396EF29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CA3149" w:rsidRPr="00FF2E76" w14:paraId="4A0A56A8" w14:textId="77777777" w:rsidTr="008B2E4D">
        <w:trPr>
          <w:trHeight w:hRule="exact" w:val="1360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EE3C9" w14:textId="77777777" w:rsidR="00C4249E" w:rsidRPr="00833B0E" w:rsidRDefault="00C4249E" w:rsidP="00FF2E76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355" w:right="-20" w:hanging="265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Aligns all the elements so that Stage 1 is focused and coherent.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5A5B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All listed Stage 1 elements – </w:t>
            </w:r>
          </w:p>
          <w:p w14:paraId="493821B6" w14:textId="77777777" w:rsidR="00C4249E" w:rsidRPr="00833B0E" w:rsidRDefault="00C4249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00" w:lineRule="exact"/>
              <w:ind w:left="359" w:right="189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Are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interconnected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and provide a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focused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and </w:t>
            </w: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coherent</w:t>
            </w: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 set of goals for learners.</w:t>
            </w:r>
          </w:p>
          <w:p w14:paraId="097215FE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60B3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listed Stage 1 elements – </w:t>
            </w:r>
          </w:p>
          <w:p w14:paraId="5404B268" w14:textId="77777777" w:rsidR="00C4249E" w:rsidRPr="00833B0E" w:rsidRDefault="00C4249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96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only somewhat interconnected goals, so that the unit seems insufficiently focused or incoherent.</w:t>
            </w:r>
          </w:p>
          <w:p w14:paraId="533D1187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ind w:left="126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D64866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 xml:space="preserve">Some listed Stage 1 elements – </w:t>
            </w:r>
          </w:p>
          <w:p w14:paraId="7FA46185" w14:textId="77777777" w:rsidR="00C4249E" w:rsidRPr="00833B0E" w:rsidRDefault="00C4249E" w:rsidP="00D4628A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left="396" w:hanging="27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Are hardly related to one another; this isn’t really a unit but a set of thrown-together objectives that do not really fit together.</w:t>
            </w:r>
          </w:p>
          <w:p w14:paraId="603E1DCE" w14:textId="77777777" w:rsidR="00C4249E" w:rsidRPr="00833B0E" w:rsidRDefault="00C4249E" w:rsidP="00D4628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D4628A" w:rsidRPr="00FF2E76" w14:paraId="4C3C4A79" w14:textId="77777777" w:rsidTr="00FF2E76">
        <w:trPr>
          <w:trHeight w:hRule="exact" w:val="361"/>
        </w:trPr>
        <w:tc>
          <w:tcPr>
            <w:tcW w:w="1397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02D07" w14:textId="1A90913A" w:rsidR="00D4628A" w:rsidRPr="00833B0E" w:rsidRDefault="00D4628A" w:rsidP="00D4628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ind w:left="115" w:right="189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</w:pPr>
            <w:r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>Feedback and Suggestions</w:t>
            </w:r>
            <w:r w:rsidR="00280D1A" w:rsidRPr="00833B0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ja-JP"/>
              </w:rPr>
              <w:t xml:space="preserve"> to Improve Stage 1</w:t>
            </w:r>
          </w:p>
        </w:tc>
      </w:tr>
      <w:tr w:rsidR="00D17653" w:rsidRPr="00FF2E76" w14:paraId="7EAB7A19" w14:textId="77777777" w:rsidTr="00D17653">
        <w:trPr>
          <w:trHeight w:hRule="exact" w:val="3214"/>
        </w:trPr>
        <w:tc>
          <w:tcPr>
            <w:tcW w:w="69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97DF7" w14:textId="4BE6976E" w:rsidR="00D17653" w:rsidRPr="00833B0E" w:rsidRDefault="00D17653" w:rsidP="00D17653">
            <w:pPr>
              <w:widowControl w:val="0"/>
              <w:autoSpaceDE w:val="0"/>
              <w:autoSpaceDN w:val="0"/>
              <w:adjustRightInd w:val="0"/>
              <w:spacing w:before="120" w:after="0" w:line="200" w:lineRule="exact"/>
              <w:ind w:right="187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Strengths of the work: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0369A" w14:textId="67976B86" w:rsidR="00D17653" w:rsidRPr="00833B0E" w:rsidRDefault="00D17653" w:rsidP="00D17653">
            <w:pPr>
              <w:widowControl w:val="0"/>
              <w:autoSpaceDE w:val="0"/>
              <w:autoSpaceDN w:val="0"/>
              <w:adjustRightInd w:val="0"/>
              <w:spacing w:before="120" w:after="0" w:line="200" w:lineRule="exact"/>
              <w:ind w:right="187"/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ja-JP"/>
              </w:rPr>
              <w:t>Opportunities for Improvement:</w:t>
            </w:r>
          </w:p>
        </w:tc>
      </w:tr>
    </w:tbl>
    <w:p w14:paraId="4A0178F9" w14:textId="77777777" w:rsidR="00674742" w:rsidRDefault="00674742"/>
    <w:sectPr w:rsidR="00674742" w:rsidSect="00904E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2BBD2" w14:textId="77777777" w:rsidR="00567804" w:rsidRDefault="00567804" w:rsidP="005435CB">
      <w:pPr>
        <w:spacing w:after="0"/>
      </w:pPr>
      <w:r>
        <w:separator/>
      </w:r>
    </w:p>
  </w:endnote>
  <w:endnote w:type="continuationSeparator" w:id="0">
    <w:p w14:paraId="34B28950" w14:textId="77777777" w:rsidR="00567804" w:rsidRDefault="00567804" w:rsidP="005435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6D0DD2" w14:textId="77777777" w:rsidR="002664FA" w:rsidRDefault="002664F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9FE7D" w14:textId="6A6A19FB" w:rsidR="00567804" w:rsidRPr="00B804E8" w:rsidRDefault="00567804">
    <w:pPr>
      <w:pStyle w:val="Footer"/>
      <w:rPr>
        <w:sz w:val="14"/>
        <w:szCs w:val="14"/>
      </w:rPr>
    </w:pPr>
    <w:r>
      <w:rPr>
        <w:sz w:val="14"/>
        <w:szCs w:val="14"/>
      </w:rPr>
      <w:t xml:space="preserve">Adapted from “Design Rubric for UbD Design Standards 2.0” in </w:t>
    </w:r>
    <w:r w:rsidRPr="00F66611">
      <w:rPr>
        <w:i/>
        <w:sz w:val="14"/>
        <w:szCs w:val="14"/>
      </w:rPr>
      <w:t>The Understanding by Design Guide to Advanced Concepts in Creating and Reviewing Units</w:t>
    </w:r>
    <w:r>
      <w:rPr>
        <w:sz w:val="14"/>
        <w:szCs w:val="14"/>
      </w:rPr>
      <w:t>, Wiggins and McTighe, 2012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AB70F" w14:textId="77777777" w:rsidR="002664FA" w:rsidRDefault="002664F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AC5F8" w14:textId="77777777" w:rsidR="00567804" w:rsidRDefault="00567804" w:rsidP="005435CB">
      <w:pPr>
        <w:spacing w:after="0"/>
      </w:pPr>
      <w:r>
        <w:separator/>
      </w:r>
    </w:p>
  </w:footnote>
  <w:footnote w:type="continuationSeparator" w:id="0">
    <w:p w14:paraId="5F677B30" w14:textId="77777777" w:rsidR="00567804" w:rsidRDefault="00567804" w:rsidP="005435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B97C36" w14:textId="637CD6DD" w:rsidR="00567804" w:rsidRDefault="00567804" w:rsidP="002D0D3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DEC749" w14:textId="77777777" w:rsidR="00567804" w:rsidRDefault="00567804" w:rsidP="0054147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76DFCA" w14:textId="6C8FCB72" w:rsidR="00567804" w:rsidRDefault="00567804" w:rsidP="002D0D3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64F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          </w:t>
    </w:r>
  </w:p>
  <w:p w14:paraId="0774144A" w14:textId="789D5942" w:rsidR="00567804" w:rsidRPr="005435CB" w:rsidRDefault="00567804" w:rsidP="003E0CC3">
    <w:pPr>
      <w:ind w:left="1440" w:right="360"/>
    </w:pPr>
    <w:r w:rsidRPr="008B2E4D">
      <w:rPr>
        <w:b/>
        <w:noProof/>
      </w:rPr>
      <w:drawing>
        <wp:anchor distT="0" distB="0" distL="114300" distR="114300" simplePos="0" relativeHeight="251664384" behindDoc="0" locked="0" layoutInCell="1" allowOverlap="1" wp14:anchorId="6462A50C" wp14:editId="35B6230B">
          <wp:simplePos x="0" y="0"/>
          <wp:positionH relativeFrom="column">
            <wp:posOffset>-136525</wp:posOffset>
          </wp:positionH>
          <wp:positionV relativeFrom="paragraph">
            <wp:posOffset>-331470</wp:posOffset>
          </wp:positionV>
          <wp:extent cx="974090" cy="505460"/>
          <wp:effectExtent l="0" t="0" r="0" b="2540"/>
          <wp:wrapTight wrapText="bothSides">
            <wp:wrapPolygon edited="0">
              <wp:start x="0" y="0"/>
              <wp:lineTo x="0" y="20623"/>
              <wp:lineTo x="20840" y="20623"/>
              <wp:lineTo x="20840" y="0"/>
              <wp:lineTo x="0" y="0"/>
            </wp:wrapPolygon>
          </wp:wrapTight>
          <wp:docPr id="1" name="Picture 1" descr="Macintosh HD:Users:lisa.ashe:Desktop:Screen shot 2012-10-15 at 10.40.31 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sa.ashe:Desktop:Screen shot 2012-10-15 at 10.40.31 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9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2E4D">
      <w:rPr>
        <w:b/>
      </w:rPr>
      <w:t xml:space="preserve">Rubric for </w:t>
    </w:r>
    <w:r w:rsidR="002664FA">
      <w:rPr>
        <w:b/>
      </w:rPr>
      <w:t xml:space="preserve">Stage 1 of </w:t>
    </w:r>
    <w:r w:rsidRPr="008B2E4D">
      <w:rPr>
        <w:b/>
      </w:rPr>
      <w:t>UbD Unit Design</w:t>
    </w:r>
    <w:r w:rsidR="008B2E4D">
      <w:tab/>
    </w:r>
    <w:r w:rsidR="002664FA">
      <w:tab/>
    </w:r>
    <w:bookmarkStart w:id="0" w:name="_GoBack"/>
    <w:bookmarkEnd w:id="0"/>
    <w:r w:rsidR="008B2E4D" w:rsidRPr="008B2E4D">
      <w:rPr>
        <w:b/>
      </w:rPr>
      <w:t>Reviewer:</w:t>
    </w:r>
    <w:r w:rsidR="008B2E4D">
      <w:t xml:space="preserve"> ________________________________</w:t>
    </w:r>
    <w:r w:rsidR="008B2E4D">
      <w:tab/>
    </w:r>
    <w:r w:rsidR="008B2E4D" w:rsidRPr="008B2E4D">
      <w:rPr>
        <w:b/>
      </w:rPr>
      <w:t xml:space="preserve">Phase </w:t>
    </w:r>
    <w:r w:rsidR="008B2E4D">
      <w:t>(</w:t>
    </w:r>
    <w:r w:rsidR="008B2E4D" w:rsidRPr="008B2E4D">
      <w:rPr>
        <w:i/>
      </w:rPr>
      <w:t>Circle One</w:t>
    </w:r>
    <w:r w:rsidR="008B2E4D">
      <w:t>):  1   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0ACC3" w14:textId="77777777" w:rsidR="002664FA" w:rsidRDefault="002664F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0FA"/>
    <w:multiLevelType w:val="hybridMultilevel"/>
    <w:tmpl w:val="5582DE92"/>
    <w:lvl w:ilvl="0" w:tplc="0409000F">
      <w:start w:val="1"/>
      <w:numFmt w:val="decimal"/>
      <w:lvlText w:val="%1."/>
      <w:lvlJc w:val="left"/>
      <w:pPr>
        <w:ind w:left="835" w:hanging="360"/>
      </w:p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>
    <w:nsid w:val="12CA1295"/>
    <w:multiLevelType w:val="hybridMultilevel"/>
    <w:tmpl w:val="392A8BE8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">
    <w:nsid w:val="21363EA9"/>
    <w:multiLevelType w:val="hybridMultilevel"/>
    <w:tmpl w:val="3118E80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22E56DA6"/>
    <w:multiLevelType w:val="hybridMultilevel"/>
    <w:tmpl w:val="978ECDF2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258402CF"/>
    <w:multiLevelType w:val="hybridMultilevel"/>
    <w:tmpl w:val="C2FCB98A"/>
    <w:lvl w:ilvl="0" w:tplc="5210B474">
      <w:start w:val="1"/>
      <w:numFmt w:val="bullet"/>
      <w:lvlText w:val="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64A1C29"/>
    <w:multiLevelType w:val="hybridMultilevel"/>
    <w:tmpl w:val="02D27090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290439A0"/>
    <w:multiLevelType w:val="hybridMultilevel"/>
    <w:tmpl w:val="FCA261C0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461F4F06"/>
    <w:multiLevelType w:val="hybridMultilevel"/>
    <w:tmpl w:val="FA2C2496"/>
    <w:lvl w:ilvl="0" w:tplc="0409000F">
      <w:start w:val="1"/>
      <w:numFmt w:val="decimal"/>
      <w:lvlText w:val="%1."/>
      <w:lvlJc w:val="left"/>
      <w:pPr>
        <w:ind w:left="895" w:hanging="360"/>
      </w:p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8">
    <w:nsid w:val="52281364"/>
    <w:multiLevelType w:val="hybridMultilevel"/>
    <w:tmpl w:val="463CBEEA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9">
    <w:nsid w:val="54795F12"/>
    <w:multiLevelType w:val="hybridMultilevel"/>
    <w:tmpl w:val="1A24174A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0">
    <w:nsid w:val="54BC057A"/>
    <w:multiLevelType w:val="hybridMultilevel"/>
    <w:tmpl w:val="E5D248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F2011A"/>
    <w:multiLevelType w:val="hybridMultilevel"/>
    <w:tmpl w:val="E5A0DBF4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2">
    <w:nsid w:val="567638B8"/>
    <w:multiLevelType w:val="hybridMultilevel"/>
    <w:tmpl w:val="79066186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>
    <w:nsid w:val="57CB449F"/>
    <w:multiLevelType w:val="hybridMultilevel"/>
    <w:tmpl w:val="070460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52268"/>
    <w:multiLevelType w:val="hybridMultilevel"/>
    <w:tmpl w:val="59F6B4FA"/>
    <w:lvl w:ilvl="0" w:tplc="5210B47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5E26AB"/>
    <w:multiLevelType w:val="hybridMultilevel"/>
    <w:tmpl w:val="4F84FE3A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6">
    <w:nsid w:val="679F192D"/>
    <w:multiLevelType w:val="hybridMultilevel"/>
    <w:tmpl w:val="41E2E584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7">
    <w:nsid w:val="6B061746"/>
    <w:multiLevelType w:val="hybridMultilevel"/>
    <w:tmpl w:val="FA2C2496"/>
    <w:lvl w:ilvl="0" w:tplc="0409000F">
      <w:start w:val="1"/>
      <w:numFmt w:val="decimal"/>
      <w:lvlText w:val="%1."/>
      <w:lvlJc w:val="left"/>
      <w:pPr>
        <w:ind w:left="895" w:hanging="360"/>
      </w:p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8">
    <w:nsid w:val="6BF14B52"/>
    <w:multiLevelType w:val="hybridMultilevel"/>
    <w:tmpl w:val="077EEA5E"/>
    <w:lvl w:ilvl="0" w:tplc="5210B474">
      <w:start w:val="1"/>
      <w:numFmt w:val="bullet"/>
      <w:lvlText w:val="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E824A27"/>
    <w:multiLevelType w:val="hybridMultilevel"/>
    <w:tmpl w:val="04FC8F12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0">
    <w:nsid w:val="72811DA5"/>
    <w:multiLevelType w:val="hybridMultilevel"/>
    <w:tmpl w:val="FE6E5E86"/>
    <w:lvl w:ilvl="0" w:tplc="5210B47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030FB3"/>
    <w:multiLevelType w:val="hybridMultilevel"/>
    <w:tmpl w:val="22649F3C"/>
    <w:lvl w:ilvl="0" w:tplc="5210B474">
      <w:start w:val="1"/>
      <w:numFmt w:val="bullet"/>
      <w:lvlText w:val="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21"/>
  </w:num>
  <w:num w:numId="4">
    <w:abstractNumId w:val="14"/>
  </w:num>
  <w:num w:numId="5">
    <w:abstractNumId w:val="4"/>
  </w:num>
  <w:num w:numId="6">
    <w:abstractNumId w:val="0"/>
  </w:num>
  <w:num w:numId="7">
    <w:abstractNumId w:val="17"/>
  </w:num>
  <w:num w:numId="8">
    <w:abstractNumId w:val="18"/>
  </w:num>
  <w:num w:numId="9">
    <w:abstractNumId w:val="5"/>
  </w:num>
  <w:num w:numId="10">
    <w:abstractNumId w:val="20"/>
  </w:num>
  <w:num w:numId="11">
    <w:abstractNumId w:val="8"/>
  </w:num>
  <w:num w:numId="12">
    <w:abstractNumId w:val="12"/>
  </w:num>
  <w:num w:numId="13">
    <w:abstractNumId w:val="1"/>
  </w:num>
  <w:num w:numId="14">
    <w:abstractNumId w:val="11"/>
  </w:num>
  <w:num w:numId="15">
    <w:abstractNumId w:val="19"/>
  </w:num>
  <w:num w:numId="16">
    <w:abstractNumId w:val="13"/>
  </w:num>
  <w:num w:numId="17">
    <w:abstractNumId w:val="15"/>
  </w:num>
  <w:num w:numId="18">
    <w:abstractNumId w:val="16"/>
  </w:num>
  <w:num w:numId="19">
    <w:abstractNumId w:val="10"/>
  </w:num>
  <w:num w:numId="20">
    <w:abstractNumId w:val="9"/>
  </w:num>
  <w:num w:numId="21">
    <w:abstractNumId w:val="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42"/>
    <w:rsid w:val="000A79E9"/>
    <w:rsid w:val="00145CE5"/>
    <w:rsid w:val="002664FA"/>
    <w:rsid w:val="00280D1A"/>
    <w:rsid w:val="002A0A45"/>
    <w:rsid w:val="002D0D33"/>
    <w:rsid w:val="003E0CC3"/>
    <w:rsid w:val="004F7F3B"/>
    <w:rsid w:val="0054147F"/>
    <w:rsid w:val="005435CB"/>
    <w:rsid w:val="00567804"/>
    <w:rsid w:val="00575E65"/>
    <w:rsid w:val="005E0696"/>
    <w:rsid w:val="00601D88"/>
    <w:rsid w:val="00610A7E"/>
    <w:rsid w:val="00674742"/>
    <w:rsid w:val="006D2F3A"/>
    <w:rsid w:val="006E6038"/>
    <w:rsid w:val="00710E39"/>
    <w:rsid w:val="00754AA0"/>
    <w:rsid w:val="007C55A4"/>
    <w:rsid w:val="007D1166"/>
    <w:rsid w:val="007E74E6"/>
    <w:rsid w:val="007E788A"/>
    <w:rsid w:val="00833B0E"/>
    <w:rsid w:val="00855FEF"/>
    <w:rsid w:val="00881717"/>
    <w:rsid w:val="008B2E4D"/>
    <w:rsid w:val="00904E69"/>
    <w:rsid w:val="00927A95"/>
    <w:rsid w:val="00A13FB7"/>
    <w:rsid w:val="00AC16A1"/>
    <w:rsid w:val="00AD1392"/>
    <w:rsid w:val="00B25A8B"/>
    <w:rsid w:val="00B804E8"/>
    <w:rsid w:val="00BB3222"/>
    <w:rsid w:val="00C01B0D"/>
    <w:rsid w:val="00C224C8"/>
    <w:rsid w:val="00C4249E"/>
    <w:rsid w:val="00C76412"/>
    <w:rsid w:val="00CA3149"/>
    <w:rsid w:val="00D17653"/>
    <w:rsid w:val="00D4628A"/>
    <w:rsid w:val="00EE3449"/>
    <w:rsid w:val="00F33A74"/>
    <w:rsid w:val="00F57E1A"/>
    <w:rsid w:val="00F66611"/>
    <w:rsid w:val="00FF2E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1BE5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4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47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5C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435CB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435C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435CB"/>
    <w:rPr>
      <w:rFonts w:eastAsiaTheme="minorHAns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4147F"/>
  </w:style>
  <w:style w:type="paragraph" w:styleId="BalloonText">
    <w:name w:val="Balloon Text"/>
    <w:basedOn w:val="Normal"/>
    <w:link w:val="BalloonTextChar"/>
    <w:uiPriority w:val="99"/>
    <w:semiHidden/>
    <w:unhideWhenUsed/>
    <w:rsid w:val="003E0CC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CC3"/>
    <w:rPr>
      <w:rFonts w:ascii="Lucida Grande" w:eastAsiaTheme="minorHAnsi" w:hAnsi="Lucida Grande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E0696"/>
    <w:pPr>
      <w:spacing w:after="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696"/>
    <w:rPr>
      <w:rFonts w:eastAsiaTheme="minorHAnsi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5E069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4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47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35C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435CB"/>
    <w:rPr>
      <w:rFonts w:eastAsiaTheme="minorHAns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435C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435CB"/>
    <w:rPr>
      <w:rFonts w:eastAsiaTheme="minorHAns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4147F"/>
  </w:style>
  <w:style w:type="paragraph" w:styleId="BalloonText">
    <w:name w:val="Balloon Text"/>
    <w:basedOn w:val="Normal"/>
    <w:link w:val="BalloonTextChar"/>
    <w:uiPriority w:val="99"/>
    <w:semiHidden/>
    <w:unhideWhenUsed/>
    <w:rsid w:val="003E0CC3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CC3"/>
    <w:rPr>
      <w:rFonts w:ascii="Lucida Grande" w:eastAsiaTheme="minorHAnsi" w:hAnsi="Lucida Grande"/>
      <w:sz w:val="18"/>
      <w:szCs w:val="18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5E0696"/>
    <w:pPr>
      <w:spacing w:after="0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0696"/>
    <w:rPr>
      <w:rFonts w:eastAsiaTheme="minorHAnsi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5E06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807</Words>
  <Characters>4602</Characters>
  <Application>Microsoft Macintosh Word</Application>
  <DocSecurity>0</DocSecurity>
  <Lines>38</Lines>
  <Paragraphs>10</Paragraphs>
  <ScaleCrop>false</ScaleCrop>
  <Company>Education Center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Ashe</dc:creator>
  <cp:keywords/>
  <dc:description/>
  <cp:lastModifiedBy>Lisa Ashe</cp:lastModifiedBy>
  <cp:revision>28</cp:revision>
  <cp:lastPrinted>2013-05-30T14:33:00Z</cp:lastPrinted>
  <dcterms:created xsi:type="dcterms:W3CDTF">2012-10-19T14:41:00Z</dcterms:created>
  <dcterms:modified xsi:type="dcterms:W3CDTF">2013-06-12T22:27:00Z</dcterms:modified>
</cp:coreProperties>
</file>